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37C9">
        <w:rPr>
          <w:rFonts w:ascii="Arial" w:hAnsi="Arial" w:cs="Arial"/>
          <w:b/>
          <w:caps/>
          <w:sz w:val="28"/>
          <w:szCs w:val="28"/>
        </w:rPr>
        <w:t>1514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37C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37C9">
              <w:rPr>
                <w:rFonts w:ascii="Arial" w:hAnsi="Arial" w:cs="Arial"/>
                <w:sz w:val="20"/>
                <w:szCs w:val="20"/>
              </w:rPr>
              <w:t>Solicita a instalação de refletores na quadra localizada na Rua Dom Sancho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D37C9">
        <w:rPr>
          <w:rFonts w:ascii="Arial" w:hAnsi="Arial" w:cs="Arial"/>
        </w:rPr>
        <w:t>à</w:t>
      </w:r>
      <w:r w:rsidR="00DD37C9" w:rsidRPr="00DD37C9">
        <w:rPr>
          <w:rFonts w:ascii="Arial" w:hAnsi="Arial" w:cs="Arial"/>
        </w:rPr>
        <w:t xml:space="preserve"> instalação de refletores na quadra localizada na Rua Dom Sancho I, no Parque dos Príncipes.</w:t>
      </w:r>
      <w:bookmarkStart w:id="0" w:name="_GoBack"/>
      <w:bookmarkEnd w:id="0"/>
    </w:p>
    <w:p w:rsidR="00DD37C9" w:rsidRDefault="00DD37C9" w:rsidP="00DD37C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37C9">
        <w:rPr>
          <w:rFonts w:ascii="Arial" w:hAnsi="Arial" w:cs="Arial"/>
        </w:rPr>
        <w:t xml:space="preserve">Conforme relato de moradores, não há a possibilidade de utilização da quadra ao final da tarde e durante a noite, o que desestimula as práticas esportivas e de lazer, </w:t>
      </w:r>
      <w:r>
        <w:rPr>
          <w:rFonts w:ascii="Arial" w:hAnsi="Arial" w:cs="Arial"/>
        </w:rPr>
        <w:t>torna</w:t>
      </w:r>
      <w:r w:rsidRPr="00DD37C9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DD37C9">
        <w:rPr>
          <w:rFonts w:ascii="Arial" w:hAnsi="Arial" w:cs="Arial"/>
        </w:rPr>
        <w:t>a intervenção no local.</w:t>
      </w:r>
    </w:p>
    <w:p w:rsidR="00DD37C9" w:rsidRPr="00DD37C9" w:rsidRDefault="00DD37C9" w:rsidP="00DD37C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da quadra em questão.</w:t>
      </w:r>
    </w:p>
    <w:p w:rsidR="003A77BE" w:rsidRPr="001840AD" w:rsidRDefault="00DD37C9" w:rsidP="00DD37C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37C9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DD37C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37C9">
        <w:rPr>
          <w:rFonts w:ascii="Arial" w:hAnsi="Arial" w:cs="Arial"/>
        </w:rPr>
        <w:t>13 de junho de 2018.</w:t>
      </w:r>
    </w:p>
    <w:p w:rsidR="00DD37C9" w:rsidRDefault="00DD37C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37C9" w:rsidRDefault="00DD37C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37C9" w:rsidRDefault="00DD37C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37C9" w:rsidRPr="00A34F2C" w:rsidRDefault="00DD37C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D37C9" w:rsidRPr="00A34F2C" w:rsidRDefault="00DD37C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D37C9" w:rsidRDefault="00DD37C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D37C9" w:rsidRDefault="00DD37C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37C9" w:rsidRDefault="00DD37C9" w:rsidP="00DD37C9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0A59009">
            <wp:extent cx="5402580" cy="405384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37C9" w:rsidRPr="00A34F2C" w:rsidRDefault="00DD37C9" w:rsidP="00DD37C9">
      <w:pPr>
        <w:pStyle w:val="Pr-Fotos"/>
      </w:pPr>
      <w:r>
        <w:rPr>
          <w:noProof/>
          <w:lang w:eastAsia="pt-BR"/>
        </w:rPr>
        <w:drawing>
          <wp:inline distT="0" distB="0" distL="0" distR="0" wp14:anchorId="44846623">
            <wp:extent cx="5402580" cy="4053840"/>
            <wp:effectExtent l="0" t="0" r="762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D37C9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24E" w:rsidRDefault="00F2624E">
      <w:r>
        <w:separator/>
      </w:r>
    </w:p>
  </w:endnote>
  <w:endnote w:type="continuationSeparator" w:id="0">
    <w:p w:rsidR="00F2624E" w:rsidRDefault="00F2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24E" w:rsidRDefault="00F2624E">
      <w:r>
        <w:separator/>
      </w:r>
    </w:p>
  </w:footnote>
  <w:footnote w:type="continuationSeparator" w:id="0">
    <w:p w:rsidR="00F2624E" w:rsidRDefault="00F26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37C9">
      <w:rPr>
        <w:rFonts w:ascii="Arial" w:hAnsi="Arial" w:cs="Arial"/>
        <w:b/>
        <w:sz w:val="20"/>
        <w:szCs w:val="20"/>
        <w:u w:val="single"/>
      </w:rPr>
      <w:t>1514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D37C9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95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95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295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37C9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624E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BAEF-3213-4035-B1E5-B68D980D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2018-06-12T13:43:00Z</cp:lastPrinted>
  <dcterms:created xsi:type="dcterms:W3CDTF">2018-06-12T13:43:00Z</dcterms:created>
  <dcterms:modified xsi:type="dcterms:W3CDTF">2018-06-12T13:43:00Z</dcterms:modified>
</cp:coreProperties>
</file>