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96A4E">
        <w:rPr>
          <w:rFonts w:ascii="Arial" w:hAnsi="Arial" w:cs="Arial"/>
          <w:b/>
          <w:caps/>
          <w:sz w:val="28"/>
          <w:szCs w:val="28"/>
        </w:rPr>
        <w:t>395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96A4E" w:rsidP="00A96A4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96A4E">
              <w:rPr>
                <w:rFonts w:ascii="Arial" w:hAnsi="Arial" w:cs="Arial"/>
                <w:sz w:val="20"/>
                <w:szCs w:val="20"/>
              </w:rPr>
              <w:t>Ao Excelentíssimo Senhor José Serra, Senador da República, solicitando apoio e esforços para a instalação, no Município de Jacareí/SP, de um Hospital Regional Infantil que atenda casos de alta complexidade.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B63169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A96A4E" w:rsidRPr="00A96A4E">
        <w:rPr>
          <w:rFonts w:ascii="Arial" w:hAnsi="Arial" w:cs="Arial"/>
        </w:rPr>
        <w:t>ao Excelentíssimo Senhor José Serra, Senador da República, solicitando apoio e esforços para a instalação, no Município de Jacareí/SP, de um Hospital Regional Infantil que atenda casos de alta complexidade.</w:t>
      </w:r>
    </w:p>
    <w:p w:rsidR="007F4072" w:rsidRDefault="002C28A5" w:rsidP="00B63169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2C28A5">
        <w:rPr>
          <w:rFonts w:ascii="Arial" w:hAnsi="Arial" w:cs="Arial"/>
        </w:rPr>
        <w:t>Primordiando pelo agradecimento a Sua Excelência, Senador da República, José Serra, pela decisiva ajuda na obtenção de vaga para cirurgia de alta complexidade destinada a criança que, nascida em nossa cidade</w:t>
      </w:r>
      <w:r>
        <w:rPr>
          <w:rFonts w:ascii="Arial" w:hAnsi="Arial" w:cs="Arial"/>
        </w:rPr>
        <w:t>,</w:t>
      </w:r>
      <w:r w:rsidRPr="002C28A5">
        <w:rPr>
          <w:rFonts w:ascii="Arial" w:hAnsi="Arial" w:cs="Arial"/>
        </w:rPr>
        <w:t xml:space="preserve"> no Hospital São Francisco de Assis, acometida de Tetralogia de Fallot, necessitou de avocação de cirurgia pelo Instituto do Coração – INCOR, e</w:t>
      </w:r>
      <w:r w:rsidR="007F4072">
        <w:rPr>
          <w:rFonts w:ascii="Arial" w:hAnsi="Arial" w:cs="Arial"/>
        </w:rPr>
        <w:t>m São Paulo, se requer a V.Exa.</w:t>
      </w:r>
      <w:r w:rsidRPr="002C28A5">
        <w:rPr>
          <w:rFonts w:ascii="Arial" w:hAnsi="Arial" w:cs="Arial"/>
        </w:rPr>
        <w:t xml:space="preserve"> </w:t>
      </w:r>
      <w:proofErr w:type="gramStart"/>
      <w:r w:rsidRPr="002C28A5">
        <w:rPr>
          <w:rFonts w:ascii="Arial" w:hAnsi="Arial" w:cs="Arial"/>
        </w:rPr>
        <w:t>estudos</w:t>
      </w:r>
      <w:proofErr w:type="gramEnd"/>
      <w:r w:rsidRPr="002C28A5">
        <w:rPr>
          <w:rFonts w:ascii="Arial" w:hAnsi="Arial" w:cs="Arial"/>
        </w:rPr>
        <w:t xml:space="preserve"> para a instalação de um Hospital Regional Infantil que atenda casos de alta complexidade em nossa cidade, uma vez que, atualmente, no universo de quase 3.000 gestantes existentes em nosso </w:t>
      </w:r>
      <w:r w:rsidR="007F4072" w:rsidRPr="002C28A5">
        <w:rPr>
          <w:rFonts w:ascii="Arial" w:hAnsi="Arial" w:cs="Arial"/>
        </w:rPr>
        <w:t>Município</w:t>
      </w:r>
      <w:r w:rsidRPr="002C28A5">
        <w:rPr>
          <w:rFonts w:ascii="Arial" w:hAnsi="Arial" w:cs="Arial"/>
        </w:rPr>
        <w:t>, por volta de 192 casos são classificados de alto risco e, possivelmente, se enquadra</w:t>
      </w:r>
      <w:r w:rsidR="007F4072">
        <w:rPr>
          <w:rFonts w:ascii="Arial" w:hAnsi="Arial" w:cs="Arial"/>
        </w:rPr>
        <w:t>m</w:t>
      </w:r>
      <w:r w:rsidRPr="002C28A5">
        <w:rPr>
          <w:rFonts w:ascii="Arial" w:hAnsi="Arial" w:cs="Arial"/>
        </w:rPr>
        <w:t xml:space="preserve"> na classificação de alta complexidade, urgenciando, sob risco de vida, acompanhamento e provid</w:t>
      </w:r>
      <w:r w:rsidR="007F4072">
        <w:rPr>
          <w:rFonts w:ascii="Arial" w:hAnsi="Arial" w:cs="Arial"/>
        </w:rPr>
        <w:t>ê</w:t>
      </w:r>
      <w:r w:rsidRPr="002C28A5">
        <w:rPr>
          <w:rFonts w:ascii="Arial" w:hAnsi="Arial" w:cs="Arial"/>
        </w:rPr>
        <w:t xml:space="preserve">ncias. </w:t>
      </w:r>
    </w:p>
    <w:p w:rsidR="007F4072" w:rsidRDefault="002C28A5" w:rsidP="00B63169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2C28A5">
        <w:rPr>
          <w:rFonts w:ascii="Arial" w:hAnsi="Arial" w:cs="Arial"/>
        </w:rPr>
        <w:t>É sabido a grande diferença que faz a existência de um Hospital Regional para atender as urgências e emergências das cidades que somente possuem um Pronto Socorro e, muitas vezes, contrata</w:t>
      </w:r>
      <w:r w:rsidR="007F4072">
        <w:rPr>
          <w:rFonts w:ascii="Arial" w:hAnsi="Arial" w:cs="Arial"/>
        </w:rPr>
        <w:t>m</w:t>
      </w:r>
      <w:r w:rsidRPr="002C28A5">
        <w:rPr>
          <w:rFonts w:ascii="Arial" w:hAnsi="Arial" w:cs="Arial"/>
        </w:rPr>
        <w:t xml:space="preserve"> serviços de Maternidade</w:t>
      </w:r>
      <w:r w:rsidR="00493D56">
        <w:rPr>
          <w:rFonts w:ascii="Arial" w:hAnsi="Arial" w:cs="Arial"/>
        </w:rPr>
        <w:t>,</w:t>
      </w:r>
      <w:r w:rsidRPr="002C28A5">
        <w:rPr>
          <w:rFonts w:ascii="Arial" w:hAnsi="Arial" w:cs="Arial"/>
        </w:rPr>
        <w:t xml:space="preserve"> a exemplo da cidade de Jacareí. Esta prestaçã</w:t>
      </w:r>
      <w:r w:rsidR="007F4072">
        <w:rPr>
          <w:rFonts w:ascii="Arial" w:hAnsi="Arial" w:cs="Arial"/>
        </w:rPr>
        <w:t>o de serviço completa os exames,</w:t>
      </w:r>
      <w:r w:rsidRPr="002C28A5">
        <w:rPr>
          <w:rFonts w:ascii="Arial" w:hAnsi="Arial" w:cs="Arial"/>
        </w:rPr>
        <w:t xml:space="preserve"> procedimentos pré e pós cirúrgicos, e iniciam os tratamentos nos diagnósticos específicos. </w:t>
      </w:r>
    </w:p>
    <w:p w:rsidR="007F4072" w:rsidRDefault="002C28A5" w:rsidP="002C28A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C28A5">
        <w:rPr>
          <w:rFonts w:ascii="Arial" w:hAnsi="Arial" w:cs="Arial"/>
        </w:rPr>
        <w:t xml:space="preserve">Entendendo a crescente demanda da saúde, todos os municípios estão pedindo socorro. Hoje temos o Hospital Regional na cidade vizinha São José dos Campos, que muito socorre, porém, não podemos </w:t>
      </w:r>
      <w:r w:rsidR="007F4072">
        <w:rPr>
          <w:rFonts w:ascii="Arial" w:hAnsi="Arial" w:cs="Arial"/>
        </w:rPr>
        <w:t xml:space="preserve">nos </w:t>
      </w:r>
      <w:r w:rsidRPr="002C28A5">
        <w:rPr>
          <w:rFonts w:ascii="Arial" w:hAnsi="Arial" w:cs="Arial"/>
        </w:rPr>
        <w:t xml:space="preserve">dar como satisfeitos quanto ao atendimento aos recém-nascidos e crianças. </w:t>
      </w:r>
    </w:p>
    <w:p w:rsidR="007F4072" w:rsidRDefault="002C28A5" w:rsidP="00B63169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2C28A5">
        <w:rPr>
          <w:rFonts w:ascii="Arial" w:hAnsi="Arial" w:cs="Arial"/>
        </w:rPr>
        <w:lastRenderedPageBreak/>
        <w:t>Na atualidade, o cidadão está mais ciente de seus direitos e busca as instituições de defesa</w:t>
      </w:r>
      <w:r w:rsidR="007F4072">
        <w:rPr>
          <w:rFonts w:ascii="Arial" w:hAnsi="Arial" w:cs="Arial"/>
        </w:rPr>
        <w:t xml:space="preserve">, muitas das vezes recorrendo à </w:t>
      </w:r>
      <w:r w:rsidRPr="002C28A5">
        <w:rPr>
          <w:rFonts w:ascii="Arial" w:hAnsi="Arial" w:cs="Arial"/>
        </w:rPr>
        <w:t>Defensoria Pública que abre ação, muita facilmente, em face da Administração Pública do Município. Nestes casos, para provid</w:t>
      </w:r>
      <w:r w:rsidR="007F4072">
        <w:rPr>
          <w:rFonts w:ascii="Arial" w:hAnsi="Arial" w:cs="Arial"/>
        </w:rPr>
        <w:t>ê</w:t>
      </w:r>
      <w:r w:rsidRPr="002C28A5">
        <w:rPr>
          <w:rFonts w:ascii="Arial" w:hAnsi="Arial" w:cs="Arial"/>
        </w:rPr>
        <w:t xml:space="preserve">ncias imediatas, o Poder Público não tem tido respostas para as urgências e emergências solicitadas, sendo o equipamento público mais próximo os localizados em São Paulo, com uma demanda expressiva, trazendo a amargura da espera por solução e o sofrimento aos familiares. </w:t>
      </w:r>
    </w:p>
    <w:p w:rsidR="002C28A5" w:rsidRPr="002C28A5" w:rsidRDefault="002C28A5" w:rsidP="00B63169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2C28A5">
        <w:rPr>
          <w:rFonts w:ascii="Arial" w:hAnsi="Arial" w:cs="Arial"/>
        </w:rPr>
        <w:t xml:space="preserve">Os números abaixo refletem a situação de nosso </w:t>
      </w:r>
      <w:r w:rsidR="007F4072" w:rsidRPr="002C28A5">
        <w:rPr>
          <w:rFonts w:ascii="Arial" w:hAnsi="Arial" w:cs="Arial"/>
        </w:rPr>
        <w:t xml:space="preserve">Município </w:t>
      </w:r>
      <w:r w:rsidRPr="002C28A5">
        <w:rPr>
          <w:rFonts w:ascii="Arial" w:hAnsi="Arial" w:cs="Arial"/>
        </w:rPr>
        <w:t>(Quadro de Análise referente ao Pré-</w:t>
      </w:r>
      <w:r w:rsidR="007F4072" w:rsidRPr="002C28A5">
        <w:rPr>
          <w:rFonts w:ascii="Arial" w:hAnsi="Arial" w:cs="Arial"/>
        </w:rPr>
        <w:t xml:space="preserve">Natal </w:t>
      </w:r>
      <w:r w:rsidRPr="002C28A5">
        <w:rPr>
          <w:rFonts w:ascii="Arial" w:hAnsi="Arial" w:cs="Arial"/>
        </w:rPr>
        <w:t xml:space="preserve">e Parto da Cidade de Jacareí. Fonte Prestação de Contas da Secretaria de </w:t>
      </w:r>
      <w:r w:rsidR="007F4072" w:rsidRPr="002C28A5">
        <w:rPr>
          <w:rFonts w:ascii="Arial" w:hAnsi="Arial" w:cs="Arial"/>
        </w:rPr>
        <w:t xml:space="preserve">Saúde </w:t>
      </w:r>
      <w:r w:rsidRPr="002C28A5">
        <w:rPr>
          <w:rFonts w:ascii="Arial" w:hAnsi="Arial" w:cs="Arial"/>
        </w:rPr>
        <w:t>Base 2017, 2018 e 1 º Quadrimestre de</w:t>
      </w:r>
      <w:r w:rsidR="007F4072">
        <w:rPr>
          <w:rFonts w:ascii="Arial" w:hAnsi="Arial" w:cs="Arial"/>
        </w:rPr>
        <w:t xml:space="preserve"> </w:t>
      </w:r>
      <w:r w:rsidRPr="002C28A5">
        <w:rPr>
          <w:rFonts w:ascii="Arial" w:hAnsi="Arial" w:cs="Arial"/>
        </w:rPr>
        <w:t>2019):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689"/>
        <w:gridCol w:w="1842"/>
        <w:gridCol w:w="1701"/>
        <w:gridCol w:w="1701"/>
        <w:gridCol w:w="1554"/>
      </w:tblGrid>
      <w:tr w:rsidR="00493D56" w:rsidRPr="00493D56" w:rsidTr="00493D56"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493D56" w:rsidRPr="00493D56" w:rsidRDefault="00493D56" w:rsidP="00493D56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493D56">
              <w:rPr>
                <w:rFonts w:ascii="Arial" w:hAnsi="Arial" w:cs="Arial"/>
                <w:b/>
                <w:sz w:val="22"/>
              </w:rPr>
              <w:t>Referência (quantitativa)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493D56" w:rsidRPr="00493D56" w:rsidRDefault="00493D56" w:rsidP="00493D56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493D56">
              <w:rPr>
                <w:rFonts w:ascii="Arial" w:hAnsi="Arial" w:cs="Arial"/>
                <w:b/>
                <w:sz w:val="22"/>
              </w:rPr>
              <w:t>2017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93D56" w:rsidRPr="00493D56" w:rsidRDefault="00493D56" w:rsidP="00493D56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493D56">
              <w:rPr>
                <w:rFonts w:ascii="Arial" w:hAnsi="Arial" w:cs="Arial"/>
                <w:b/>
                <w:sz w:val="22"/>
              </w:rPr>
              <w:t>2018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93D56" w:rsidRPr="00493D56" w:rsidRDefault="00493D56" w:rsidP="00493D56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493D56">
              <w:rPr>
                <w:rFonts w:ascii="Arial" w:hAnsi="Arial" w:cs="Arial"/>
                <w:b/>
                <w:sz w:val="22"/>
              </w:rPr>
              <w:t>1º Quad.</w:t>
            </w:r>
            <w:r w:rsidRPr="00493D56">
              <w:rPr>
                <w:rFonts w:ascii="Arial" w:hAnsi="Arial" w:cs="Arial"/>
                <w:b/>
                <w:sz w:val="22"/>
              </w:rPr>
              <w:t xml:space="preserve"> </w:t>
            </w:r>
            <w:r w:rsidRPr="00493D56">
              <w:rPr>
                <w:rFonts w:ascii="Arial" w:hAnsi="Arial" w:cs="Arial"/>
                <w:b/>
                <w:sz w:val="22"/>
              </w:rPr>
              <w:t>2019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center"/>
          </w:tcPr>
          <w:p w:rsidR="00493D56" w:rsidRPr="00493D56" w:rsidRDefault="00493D56" w:rsidP="00493D56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493D56">
              <w:rPr>
                <w:rFonts w:ascii="Arial" w:hAnsi="Arial" w:cs="Arial"/>
                <w:b/>
                <w:sz w:val="22"/>
              </w:rPr>
              <w:t>Total</w:t>
            </w:r>
          </w:p>
        </w:tc>
      </w:tr>
      <w:tr w:rsidR="00493D56" w:rsidTr="00493D56">
        <w:tc>
          <w:tcPr>
            <w:tcW w:w="2689" w:type="dxa"/>
          </w:tcPr>
          <w:p w:rsidR="00493D56" w:rsidRPr="00493D56" w:rsidRDefault="00493D56" w:rsidP="00493D56">
            <w:pPr>
              <w:tabs>
                <w:tab w:val="left" w:pos="-600"/>
                <w:tab w:val="left" w:pos="171"/>
              </w:tabs>
              <w:spacing w:after="120" w:line="324" w:lineRule="auto"/>
              <w:jc w:val="both"/>
              <w:rPr>
                <w:rFonts w:ascii="Arial" w:hAnsi="Arial" w:cs="Arial"/>
                <w:sz w:val="22"/>
              </w:rPr>
            </w:pPr>
            <w:r w:rsidRPr="00493D56">
              <w:rPr>
                <w:rFonts w:ascii="Arial" w:hAnsi="Arial" w:cs="Arial"/>
                <w:sz w:val="22"/>
              </w:rPr>
              <w:t>Pré Natal (UBS)</w:t>
            </w:r>
          </w:p>
        </w:tc>
        <w:tc>
          <w:tcPr>
            <w:tcW w:w="1842" w:type="dxa"/>
          </w:tcPr>
          <w:p w:rsidR="00493D56" w:rsidRPr="00493D56" w:rsidRDefault="00493D56" w:rsidP="00493D56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sz w:val="22"/>
              </w:rPr>
            </w:pPr>
            <w:r w:rsidRPr="00493D56">
              <w:rPr>
                <w:rFonts w:ascii="Arial" w:hAnsi="Arial" w:cs="Arial"/>
                <w:sz w:val="22"/>
              </w:rPr>
              <w:t>1240</w:t>
            </w:r>
          </w:p>
        </w:tc>
        <w:tc>
          <w:tcPr>
            <w:tcW w:w="1701" w:type="dxa"/>
          </w:tcPr>
          <w:p w:rsidR="00493D56" w:rsidRPr="00493D56" w:rsidRDefault="00493D56" w:rsidP="00493D56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sz w:val="22"/>
              </w:rPr>
            </w:pPr>
            <w:r w:rsidRPr="00493D56">
              <w:rPr>
                <w:rFonts w:ascii="Arial" w:hAnsi="Arial" w:cs="Arial"/>
                <w:sz w:val="22"/>
              </w:rPr>
              <w:t>1947</w:t>
            </w:r>
          </w:p>
        </w:tc>
        <w:tc>
          <w:tcPr>
            <w:tcW w:w="1701" w:type="dxa"/>
          </w:tcPr>
          <w:p w:rsidR="00493D56" w:rsidRPr="00493D56" w:rsidRDefault="00493D56" w:rsidP="00493D56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sz w:val="22"/>
              </w:rPr>
            </w:pPr>
            <w:r w:rsidRPr="00493D56">
              <w:rPr>
                <w:rFonts w:ascii="Arial" w:hAnsi="Arial" w:cs="Arial"/>
                <w:sz w:val="22"/>
              </w:rPr>
              <w:t>1.569</w:t>
            </w:r>
          </w:p>
        </w:tc>
        <w:tc>
          <w:tcPr>
            <w:tcW w:w="1554" w:type="dxa"/>
          </w:tcPr>
          <w:p w:rsidR="00493D56" w:rsidRPr="00493D56" w:rsidRDefault="00493D56" w:rsidP="00493D56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sz w:val="22"/>
              </w:rPr>
            </w:pPr>
            <w:r w:rsidRPr="00493D56">
              <w:rPr>
                <w:rFonts w:ascii="Arial" w:hAnsi="Arial" w:cs="Arial"/>
                <w:sz w:val="22"/>
              </w:rPr>
              <w:t>4.746</w:t>
            </w:r>
          </w:p>
        </w:tc>
      </w:tr>
      <w:tr w:rsidR="00493D56" w:rsidTr="00493D56">
        <w:tc>
          <w:tcPr>
            <w:tcW w:w="2689" w:type="dxa"/>
          </w:tcPr>
          <w:p w:rsidR="00493D56" w:rsidRPr="00493D56" w:rsidRDefault="00493D56" w:rsidP="00493D56">
            <w:pPr>
              <w:tabs>
                <w:tab w:val="left" w:pos="-600"/>
                <w:tab w:val="left" w:pos="171"/>
              </w:tabs>
              <w:spacing w:after="120" w:line="324" w:lineRule="auto"/>
              <w:jc w:val="both"/>
              <w:rPr>
                <w:rFonts w:ascii="Arial" w:hAnsi="Arial" w:cs="Arial"/>
                <w:sz w:val="22"/>
              </w:rPr>
            </w:pPr>
            <w:r w:rsidRPr="00493D56">
              <w:rPr>
                <w:rFonts w:ascii="Arial" w:hAnsi="Arial" w:cs="Arial"/>
                <w:sz w:val="22"/>
              </w:rPr>
              <w:t>Nascimento</w:t>
            </w:r>
          </w:p>
        </w:tc>
        <w:tc>
          <w:tcPr>
            <w:tcW w:w="1842" w:type="dxa"/>
          </w:tcPr>
          <w:p w:rsidR="00493D56" w:rsidRPr="00493D56" w:rsidRDefault="00493D56" w:rsidP="00493D56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sz w:val="22"/>
              </w:rPr>
            </w:pPr>
            <w:r w:rsidRPr="00493D56">
              <w:rPr>
                <w:rFonts w:ascii="Arial" w:hAnsi="Arial" w:cs="Arial"/>
                <w:sz w:val="22"/>
              </w:rPr>
              <w:t>2888</w:t>
            </w:r>
          </w:p>
        </w:tc>
        <w:tc>
          <w:tcPr>
            <w:tcW w:w="1701" w:type="dxa"/>
          </w:tcPr>
          <w:p w:rsidR="00493D56" w:rsidRPr="00493D56" w:rsidRDefault="00493D56" w:rsidP="00493D56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sz w:val="22"/>
              </w:rPr>
            </w:pPr>
            <w:r w:rsidRPr="00493D56">
              <w:rPr>
                <w:rFonts w:ascii="Arial" w:hAnsi="Arial" w:cs="Arial"/>
                <w:sz w:val="22"/>
              </w:rPr>
              <w:t>873</w:t>
            </w:r>
          </w:p>
        </w:tc>
        <w:tc>
          <w:tcPr>
            <w:tcW w:w="1701" w:type="dxa"/>
          </w:tcPr>
          <w:p w:rsidR="00493D56" w:rsidRPr="00493D56" w:rsidRDefault="00493D56" w:rsidP="00493D56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sz w:val="22"/>
              </w:rPr>
            </w:pPr>
            <w:r w:rsidRPr="00493D56">
              <w:rPr>
                <w:rFonts w:ascii="Arial" w:hAnsi="Arial" w:cs="Arial"/>
                <w:sz w:val="22"/>
              </w:rPr>
              <w:t>950</w:t>
            </w:r>
          </w:p>
        </w:tc>
        <w:tc>
          <w:tcPr>
            <w:tcW w:w="1554" w:type="dxa"/>
          </w:tcPr>
          <w:p w:rsidR="00493D56" w:rsidRPr="00493D56" w:rsidRDefault="00493D56" w:rsidP="00493D56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sz w:val="22"/>
              </w:rPr>
            </w:pPr>
            <w:r w:rsidRPr="00493D56">
              <w:rPr>
                <w:rFonts w:ascii="Arial" w:hAnsi="Arial" w:cs="Arial"/>
                <w:sz w:val="22"/>
              </w:rPr>
              <w:t>4.711</w:t>
            </w:r>
          </w:p>
        </w:tc>
      </w:tr>
      <w:tr w:rsidR="00493D56" w:rsidTr="00493D56">
        <w:tc>
          <w:tcPr>
            <w:tcW w:w="2689" w:type="dxa"/>
          </w:tcPr>
          <w:p w:rsidR="00493D56" w:rsidRPr="00493D56" w:rsidRDefault="00493D56" w:rsidP="00493D56">
            <w:pPr>
              <w:tabs>
                <w:tab w:val="left" w:pos="-600"/>
                <w:tab w:val="left" w:pos="171"/>
              </w:tabs>
              <w:spacing w:after="120" w:line="324" w:lineRule="auto"/>
              <w:jc w:val="both"/>
              <w:rPr>
                <w:rFonts w:ascii="Arial" w:hAnsi="Arial" w:cs="Arial"/>
                <w:sz w:val="22"/>
              </w:rPr>
            </w:pPr>
            <w:r w:rsidRPr="00493D56">
              <w:rPr>
                <w:rFonts w:ascii="Arial" w:hAnsi="Arial" w:cs="Arial"/>
                <w:sz w:val="22"/>
              </w:rPr>
              <w:t>Parto Vaginal- Normal</w:t>
            </w:r>
          </w:p>
        </w:tc>
        <w:tc>
          <w:tcPr>
            <w:tcW w:w="1842" w:type="dxa"/>
          </w:tcPr>
          <w:p w:rsidR="00493D56" w:rsidRPr="00493D56" w:rsidRDefault="00493D56" w:rsidP="00493D56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sz w:val="22"/>
              </w:rPr>
            </w:pPr>
            <w:r w:rsidRPr="00493D56">
              <w:rPr>
                <w:rFonts w:ascii="Arial" w:hAnsi="Arial" w:cs="Arial"/>
                <w:sz w:val="22"/>
              </w:rPr>
              <w:t>1196</w:t>
            </w:r>
          </w:p>
        </w:tc>
        <w:tc>
          <w:tcPr>
            <w:tcW w:w="1701" w:type="dxa"/>
          </w:tcPr>
          <w:p w:rsidR="00493D56" w:rsidRPr="00493D56" w:rsidRDefault="00493D56" w:rsidP="00493D56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sz w:val="22"/>
              </w:rPr>
            </w:pPr>
            <w:r w:rsidRPr="00493D56">
              <w:rPr>
                <w:rFonts w:ascii="Arial" w:hAnsi="Arial" w:cs="Arial"/>
                <w:sz w:val="22"/>
              </w:rPr>
              <w:t>353</w:t>
            </w:r>
          </w:p>
        </w:tc>
        <w:tc>
          <w:tcPr>
            <w:tcW w:w="1701" w:type="dxa"/>
          </w:tcPr>
          <w:p w:rsidR="00493D56" w:rsidRPr="00493D56" w:rsidRDefault="00493D56" w:rsidP="00493D56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sz w:val="22"/>
              </w:rPr>
            </w:pPr>
            <w:r w:rsidRPr="00493D56">
              <w:rPr>
                <w:rFonts w:ascii="Arial" w:hAnsi="Arial" w:cs="Arial"/>
                <w:sz w:val="22"/>
              </w:rPr>
              <w:t>372</w:t>
            </w:r>
          </w:p>
        </w:tc>
        <w:tc>
          <w:tcPr>
            <w:tcW w:w="1554" w:type="dxa"/>
          </w:tcPr>
          <w:p w:rsidR="00493D56" w:rsidRPr="00493D56" w:rsidRDefault="00493D56" w:rsidP="00493D56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sz w:val="22"/>
              </w:rPr>
            </w:pPr>
            <w:r w:rsidRPr="00493D56">
              <w:rPr>
                <w:rFonts w:ascii="Arial" w:hAnsi="Arial" w:cs="Arial"/>
                <w:sz w:val="22"/>
              </w:rPr>
              <w:t>1</w:t>
            </w:r>
            <w:r>
              <w:rPr>
                <w:rFonts w:ascii="Arial" w:hAnsi="Arial" w:cs="Arial"/>
                <w:sz w:val="22"/>
              </w:rPr>
              <w:t>.</w:t>
            </w:r>
            <w:r w:rsidRPr="00493D56">
              <w:rPr>
                <w:rFonts w:ascii="Arial" w:hAnsi="Arial" w:cs="Arial"/>
                <w:sz w:val="22"/>
              </w:rPr>
              <w:t>921</w:t>
            </w:r>
          </w:p>
        </w:tc>
      </w:tr>
      <w:tr w:rsidR="00493D56" w:rsidTr="00493D56">
        <w:tc>
          <w:tcPr>
            <w:tcW w:w="2689" w:type="dxa"/>
          </w:tcPr>
          <w:p w:rsidR="00493D56" w:rsidRPr="00493D56" w:rsidRDefault="00493D56" w:rsidP="00493D56">
            <w:pPr>
              <w:tabs>
                <w:tab w:val="left" w:pos="-600"/>
                <w:tab w:val="left" w:pos="171"/>
              </w:tabs>
              <w:spacing w:after="120" w:line="324" w:lineRule="auto"/>
              <w:jc w:val="both"/>
              <w:rPr>
                <w:rFonts w:ascii="Arial" w:hAnsi="Arial" w:cs="Arial"/>
                <w:sz w:val="22"/>
              </w:rPr>
            </w:pPr>
            <w:r w:rsidRPr="00493D56">
              <w:rPr>
                <w:rFonts w:ascii="Arial" w:hAnsi="Arial" w:cs="Arial"/>
                <w:sz w:val="22"/>
              </w:rPr>
              <w:t>Cesário</w:t>
            </w:r>
          </w:p>
        </w:tc>
        <w:tc>
          <w:tcPr>
            <w:tcW w:w="1842" w:type="dxa"/>
          </w:tcPr>
          <w:p w:rsidR="00493D56" w:rsidRPr="00493D56" w:rsidRDefault="00493D56" w:rsidP="00493D56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sz w:val="22"/>
              </w:rPr>
            </w:pPr>
            <w:r w:rsidRPr="00493D56">
              <w:rPr>
                <w:rFonts w:ascii="Arial" w:hAnsi="Arial" w:cs="Arial"/>
                <w:sz w:val="22"/>
              </w:rPr>
              <w:t>1.682</w:t>
            </w:r>
          </w:p>
        </w:tc>
        <w:tc>
          <w:tcPr>
            <w:tcW w:w="1701" w:type="dxa"/>
          </w:tcPr>
          <w:p w:rsidR="00493D56" w:rsidRPr="00493D56" w:rsidRDefault="00493D56" w:rsidP="00493D56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sz w:val="22"/>
              </w:rPr>
            </w:pPr>
            <w:r w:rsidRPr="00493D56">
              <w:rPr>
                <w:rFonts w:ascii="Arial" w:hAnsi="Arial" w:cs="Arial"/>
                <w:sz w:val="22"/>
              </w:rPr>
              <w:t>520</w:t>
            </w:r>
          </w:p>
        </w:tc>
        <w:tc>
          <w:tcPr>
            <w:tcW w:w="1701" w:type="dxa"/>
          </w:tcPr>
          <w:p w:rsidR="00493D56" w:rsidRPr="00493D56" w:rsidRDefault="00493D56" w:rsidP="00493D56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sz w:val="22"/>
              </w:rPr>
            </w:pPr>
            <w:r w:rsidRPr="00493D56">
              <w:rPr>
                <w:rFonts w:ascii="Arial" w:hAnsi="Arial" w:cs="Arial"/>
                <w:sz w:val="22"/>
              </w:rPr>
              <w:t>577</w:t>
            </w:r>
          </w:p>
        </w:tc>
        <w:tc>
          <w:tcPr>
            <w:tcW w:w="1554" w:type="dxa"/>
          </w:tcPr>
          <w:p w:rsidR="00493D56" w:rsidRPr="00493D56" w:rsidRDefault="00493D56" w:rsidP="00493D56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sz w:val="22"/>
              </w:rPr>
            </w:pPr>
            <w:r w:rsidRPr="00493D56">
              <w:rPr>
                <w:rFonts w:ascii="Arial" w:hAnsi="Arial" w:cs="Arial"/>
                <w:sz w:val="22"/>
              </w:rPr>
              <w:t>2.779</w:t>
            </w:r>
          </w:p>
        </w:tc>
      </w:tr>
      <w:tr w:rsidR="00493D56" w:rsidTr="00493D56">
        <w:tc>
          <w:tcPr>
            <w:tcW w:w="2689" w:type="dxa"/>
          </w:tcPr>
          <w:p w:rsidR="00493D56" w:rsidRPr="00493D56" w:rsidRDefault="00493D56" w:rsidP="00493D56">
            <w:pPr>
              <w:tabs>
                <w:tab w:val="left" w:pos="-600"/>
                <w:tab w:val="left" w:pos="171"/>
              </w:tabs>
              <w:spacing w:after="120" w:line="324" w:lineRule="auto"/>
              <w:jc w:val="both"/>
              <w:rPr>
                <w:rFonts w:ascii="Arial" w:hAnsi="Arial" w:cs="Arial"/>
                <w:sz w:val="22"/>
              </w:rPr>
            </w:pPr>
            <w:r w:rsidRPr="00493D56">
              <w:rPr>
                <w:rFonts w:ascii="Arial" w:hAnsi="Arial" w:cs="Arial"/>
                <w:sz w:val="22"/>
              </w:rPr>
              <w:t>Não informado</w:t>
            </w:r>
          </w:p>
        </w:tc>
        <w:tc>
          <w:tcPr>
            <w:tcW w:w="1842" w:type="dxa"/>
          </w:tcPr>
          <w:p w:rsidR="00493D56" w:rsidRPr="00493D56" w:rsidRDefault="00493D56" w:rsidP="00493D56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sz w:val="22"/>
              </w:rPr>
            </w:pPr>
            <w:r w:rsidRPr="00493D56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701" w:type="dxa"/>
          </w:tcPr>
          <w:p w:rsidR="00493D56" w:rsidRPr="00493D56" w:rsidRDefault="00493D56" w:rsidP="00493D56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sz w:val="22"/>
              </w:rPr>
            </w:pPr>
            <w:r w:rsidRPr="00493D56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701" w:type="dxa"/>
          </w:tcPr>
          <w:p w:rsidR="00493D56" w:rsidRPr="00493D56" w:rsidRDefault="00493D56" w:rsidP="00493D56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sz w:val="22"/>
              </w:rPr>
            </w:pPr>
            <w:r w:rsidRPr="00493D56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554" w:type="dxa"/>
          </w:tcPr>
          <w:p w:rsidR="00493D56" w:rsidRPr="00493D56" w:rsidRDefault="00493D56" w:rsidP="00493D56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sz w:val="22"/>
              </w:rPr>
            </w:pPr>
            <w:r w:rsidRPr="00493D56">
              <w:rPr>
                <w:rFonts w:ascii="Arial" w:hAnsi="Arial" w:cs="Arial"/>
                <w:sz w:val="22"/>
              </w:rPr>
              <w:t>13</w:t>
            </w:r>
          </w:p>
        </w:tc>
      </w:tr>
    </w:tbl>
    <w:p w:rsidR="002C28A5" w:rsidRPr="002C28A5" w:rsidRDefault="002C28A5" w:rsidP="00B63169">
      <w:pPr>
        <w:tabs>
          <w:tab w:val="left" w:pos="-600"/>
        </w:tabs>
        <w:spacing w:before="240" w:after="120" w:line="324" w:lineRule="auto"/>
        <w:ind w:firstLine="1701"/>
        <w:jc w:val="both"/>
        <w:rPr>
          <w:rFonts w:ascii="Arial" w:hAnsi="Arial" w:cs="Arial"/>
        </w:rPr>
      </w:pPr>
      <w:r w:rsidRPr="002C28A5">
        <w:rPr>
          <w:rFonts w:ascii="Arial" w:hAnsi="Arial" w:cs="Arial"/>
        </w:rPr>
        <w:t>Diante deste panorama, sente-se corroborado nosso pedido, ora colocado a aprec</w:t>
      </w:r>
      <w:r w:rsidR="00493D56">
        <w:rPr>
          <w:rFonts w:ascii="Arial" w:hAnsi="Arial" w:cs="Arial"/>
        </w:rPr>
        <w:t>iação de Vossa Excelência.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96A4E">
        <w:rPr>
          <w:rFonts w:ascii="Arial" w:hAnsi="Arial" w:cs="Arial"/>
        </w:rPr>
        <w:t xml:space="preserve">30 de outubro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A96A4E" w:rsidRPr="00797765" w:rsidRDefault="00A96A4E" w:rsidP="00E05DD5">
      <w:pPr>
        <w:jc w:val="center"/>
        <w:rPr>
          <w:rFonts w:ascii="Arial" w:hAnsi="Arial" w:cs="Arial"/>
          <w:b/>
        </w:rPr>
      </w:pPr>
      <w:r w:rsidRPr="00797765">
        <w:rPr>
          <w:rFonts w:ascii="Arial" w:hAnsi="Arial" w:cs="Arial"/>
          <w:b/>
        </w:rPr>
        <w:t>LUCIMAR PONCIANO</w:t>
      </w:r>
    </w:p>
    <w:p w:rsidR="00A96A4E" w:rsidRPr="00797765" w:rsidRDefault="00A96A4E" w:rsidP="00760EC3">
      <w:pPr>
        <w:jc w:val="center"/>
        <w:rPr>
          <w:rFonts w:ascii="Arial" w:hAnsi="Arial" w:cs="Arial"/>
        </w:rPr>
      </w:pPr>
      <w:r w:rsidRPr="00797765">
        <w:rPr>
          <w:rFonts w:ascii="Arial" w:hAnsi="Arial" w:cs="Arial"/>
        </w:rPr>
        <w:t>Vereadora - PSDB</w:t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01864" w:rsidRPr="001A5778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001864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E68" w:rsidRDefault="00174E68">
      <w:r>
        <w:separator/>
      </w:r>
    </w:p>
  </w:endnote>
  <w:endnote w:type="continuationSeparator" w:id="0">
    <w:p w:rsidR="00174E68" w:rsidRDefault="00174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E68" w:rsidRDefault="00174E68">
      <w:r>
        <w:separator/>
      </w:r>
    </w:p>
  </w:footnote>
  <w:footnote w:type="continuationSeparator" w:id="0">
    <w:p w:rsidR="00174E68" w:rsidRDefault="00174E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C28A5">
      <w:rPr>
        <w:rFonts w:ascii="Arial" w:hAnsi="Arial" w:cs="Arial"/>
        <w:b/>
        <w:sz w:val="20"/>
        <w:szCs w:val="20"/>
        <w:u w:val="single"/>
      </w:rPr>
      <w:t>395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C28A5">
      <w:rPr>
        <w:rFonts w:ascii="Arial" w:hAnsi="Arial" w:cs="Arial"/>
        <w:b/>
        <w:sz w:val="20"/>
        <w:szCs w:val="20"/>
        <w:u w:val="single"/>
      </w:rPr>
      <w:t>– Vereadora Lucimar Ponciano 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6316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6316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74E68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28A5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342E7"/>
    <w:rsid w:val="00445771"/>
    <w:rsid w:val="00462383"/>
    <w:rsid w:val="00480DFB"/>
    <w:rsid w:val="00487D64"/>
    <w:rsid w:val="00493115"/>
    <w:rsid w:val="00493D56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4072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96A4E"/>
    <w:rsid w:val="00AC24F9"/>
    <w:rsid w:val="00AC712C"/>
    <w:rsid w:val="00AD6B47"/>
    <w:rsid w:val="00AE232A"/>
    <w:rsid w:val="00B10E9F"/>
    <w:rsid w:val="00B57E0F"/>
    <w:rsid w:val="00B63169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37BFA-4BE7-4943-92E8-623426CA1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32</TotalTime>
  <Pages>2</Pages>
  <Words>500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3195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2019-10-29T11:11:00Z</dcterms:created>
  <dcterms:modified xsi:type="dcterms:W3CDTF">2019-10-29T11:43:00Z</dcterms:modified>
</cp:coreProperties>
</file>